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A42CD1">
      <w:r>
        <w:rPr>
          <w:noProof/>
        </w:rPr>
        <w:drawing>
          <wp:inline distT="0" distB="0" distL="0" distR="0" wp14:anchorId="070431D3" wp14:editId="46F8171C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D1" w:rsidRPr="00443339" w:rsidRDefault="00B67323" w:rsidP="00B67323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443339">
        <w:rPr>
          <w:rFonts w:ascii="標楷體" w:eastAsia="標楷體" w:hAnsi="標楷體" w:hint="eastAsia"/>
          <w:b/>
          <w:kern w:val="0"/>
          <w:sz w:val="36"/>
          <w:szCs w:val="36"/>
        </w:rPr>
        <w:t>半日-婚前健康檢查</w:t>
      </w:r>
      <w:r w:rsidRPr="00443339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3000</w:t>
      </w:r>
      <w:r w:rsidRPr="00443339">
        <w:rPr>
          <w:rFonts w:ascii="標楷體" w:eastAsia="標楷體" w:hAnsi="標楷體" w:hint="eastAsia"/>
          <w:b/>
          <w:kern w:val="0"/>
          <w:sz w:val="36"/>
          <w:szCs w:val="36"/>
        </w:rPr>
        <w:t>元</w:t>
      </w:r>
    </w:p>
    <w:tbl>
      <w:tblPr>
        <w:tblStyle w:val="1-2"/>
        <w:tblW w:w="11448" w:type="dxa"/>
        <w:tblLook w:val="04A0" w:firstRow="1" w:lastRow="0" w:firstColumn="1" w:lastColumn="0" w:noHBand="0" w:noVBand="1"/>
      </w:tblPr>
      <w:tblGrid>
        <w:gridCol w:w="2235"/>
        <w:gridCol w:w="4819"/>
        <w:gridCol w:w="4394"/>
      </w:tblGrid>
      <w:tr w:rsidR="00A42CD1" w:rsidRPr="00A42CD1" w:rsidTr="00A42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noWrap/>
            <w:hideMark/>
          </w:tcPr>
          <w:p w:rsidR="00A42CD1" w:rsidRPr="00A42CD1" w:rsidRDefault="00A42CD1" w:rsidP="0026663F">
            <w:pPr>
              <w:widowControl/>
              <w:spacing w:line="42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A42CD1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檢查項目</w:t>
            </w:r>
          </w:p>
        </w:tc>
        <w:tc>
          <w:tcPr>
            <w:tcW w:w="4819" w:type="dxa"/>
            <w:noWrap/>
            <w:hideMark/>
          </w:tcPr>
          <w:p w:rsidR="00A42CD1" w:rsidRPr="00A42CD1" w:rsidRDefault="00A42CD1" w:rsidP="0026663F">
            <w:pPr>
              <w:widowControl/>
              <w:spacing w:line="4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A42CD1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檢查內容及部位</w:t>
            </w:r>
          </w:p>
        </w:tc>
        <w:tc>
          <w:tcPr>
            <w:tcW w:w="4394" w:type="dxa"/>
            <w:noWrap/>
            <w:hideMark/>
          </w:tcPr>
          <w:p w:rsidR="00A42CD1" w:rsidRPr="00A42CD1" w:rsidRDefault="00A42CD1" w:rsidP="0026663F">
            <w:pPr>
              <w:widowControl/>
              <w:spacing w:line="4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A42CD1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檢 查 項 目 說 明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理學檢查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家庭醫學科醫師身體健康評估體格檢查、</w:t>
            </w: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身高、體重、血壓、脈搏、視力、色盲、腰圍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了解身體基本功能是否正常等檢查。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血液常規檢查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發炎、缺鐵性貧血、紅血球增多症、敗血症、疑似地中海型貧血、細菌感染等。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肝功能檢查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肝功能指數: 麩氨酸草醋酸轉氨脢GOT</w:t>
            </w:r>
          </w:p>
        </w:tc>
        <w:tc>
          <w:tcPr>
            <w:tcW w:w="4394" w:type="dxa"/>
            <w:vMerge w:val="restart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肝功能指數: 麩氨酸草丙酸轉氨脢GPT</w:t>
            </w:r>
          </w:p>
        </w:tc>
        <w:tc>
          <w:tcPr>
            <w:tcW w:w="4394" w:type="dxa"/>
            <w:vMerge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白蛋白、球蛋白、總蛋白</w:t>
            </w:r>
          </w:p>
        </w:tc>
        <w:tc>
          <w:tcPr>
            <w:tcW w:w="4394" w:type="dxa"/>
            <w:vMerge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鹼性磷酸脢ALK-P、麩氨基轉移脢γ-GT</w:t>
            </w:r>
          </w:p>
        </w:tc>
        <w:tc>
          <w:tcPr>
            <w:tcW w:w="4394" w:type="dxa"/>
            <w:vMerge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膽功能檢查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總膽紅數T-Bili 、直接膽紅素D-Bili</w:t>
            </w:r>
          </w:p>
        </w:tc>
        <w:tc>
          <w:tcPr>
            <w:tcW w:w="4394" w:type="dxa"/>
            <w:vMerge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肝炎檢查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B型肝炎表面抗原HBsAg</w:t>
            </w: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B型肝炎表面抗體Anti-HBsAb 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瞭解是否感染B型肝炎是否有抵抗力。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C型肝炎檢查Anti-HCV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瞭解是否感染C型肝炎。 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腎功能檢查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尿素氮BUN、肌酸酐Creatinine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急慢性腎炎、尿毒症、營養不良等腎疾病。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尿酸檢查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尿酸UA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高尿酸血症、痛風等。 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心電圖檢查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靜態心電圖檢查EKG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心律不整等心臟疾病。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血脂肪檢查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膽固醇Cholesterol</w:t>
            </w: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三酸甘油脂TG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高血脂症、早期動脈硬化症、心肌梗塞、血栓症。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精密血脂檢查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高密度脂蛋白膽固醇 HDL-Cholesterol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良好膽固醇檢查。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低密度脂蛋白膽固醇 LDL-Cholesterol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壞的膽固醇檢查。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糖尿病檢查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飯前血糖AC glucose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空腹篩檢糖尿病最基本的方法。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EF7D6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尿液檢查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腎炎、腎功能不良、泌尿道感染、糖尿病、血尿、尿蛋白、泌尿道疾病等。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胸部X光檢查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胸部X光檢查</w:t>
            </w:r>
          </w:p>
        </w:tc>
        <w:tc>
          <w:tcPr>
            <w:tcW w:w="4394" w:type="dxa"/>
            <w:hideMark/>
          </w:tcPr>
          <w:p w:rsidR="00A42CD1" w:rsidRPr="00A42CD1" w:rsidRDefault="00EF7D6B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F7D6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評估肺、心臟、胸壁、氣管和食道。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血型檢查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ABO血型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判別血型A、B、O、AB檢查。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Rh因子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RH陽/陰性的檢查。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傳染病檢查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愛滋病HIV檢查</w:t>
            </w:r>
          </w:p>
        </w:tc>
        <w:tc>
          <w:tcPr>
            <w:tcW w:w="4394" w:type="dxa"/>
            <w:hideMark/>
          </w:tcPr>
          <w:p w:rsidR="00A42CD1" w:rsidRPr="00A42CD1" w:rsidRDefault="00A42CD1" w:rsidP="0076611E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是否有感染性疾病之初步篩檢。 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梅毒血清RPR檢查</w:t>
            </w:r>
          </w:p>
        </w:tc>
        <w:tc>
          <w:tcPr>
            <w:tcW w:w="4394" w:type="dxa"/>
            <w:hideMark/>
          </w:tcPr>
          <w:p w:rsidR="00A42CD1" w:rsidRPr="00A42CD1" w:rsidRDefault="00A42CD1" w:rsidP="0076611E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是否有感染性疾病之初步篩檢。</w:t>
            </w:r>
          </w:p>
        </w:tc>
      </w:tr>
      <w:tr w:rsidR="00A42CD1" w:rsidRPr="00A42CD1" w:rsidTr="00A42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梅毒血清TPHA檢查</w:t>
            </w:r>
          </w:p>
        </w:tc>
        <w:tc>
          <w:tcPr>
            <w:tcW w:w="4394" w:type="dxa"/>
            <w:hideMark/>
          </w:tcPr>
          <w:p w:rsidR="00A42CD1" w:rsidRPr="00A42CD1" w:rsidRDefault="00A42CD1" w:rsidP="0076611E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是否有</w:t>
            </w:r>
            <w:bookmarkStart w:id="0" w:name="_GoBack"/>
            <w:bookmarkEnd w:id="0"/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感染性疾病之初步篩檢。</w:t>
            </w:r>
          </w:p>
        </w:tc>
      </w:tr>
      <w:tr w:rsidR="00A42CD1" w:rsidRPr="00A42CD1" w:rsidTr="00A42C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hideMark/>
          </w:tcPr>
          <w:p w:rsidR="00A42CD1" w:rsidRPr="00A42CD1" w:rsidRDefault="00A42CD1" w:rsidP="00A42CD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遺傳疾病篩檢</w:t>
            </w:r>
          </w:p>
        </w:tc>
        <w:tc>
          <w:tcPr>
            <w:tcW w:w="4819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蠶豆症G-6-P-D檢查</w:t>
            </w:r>
          </w:p>
        </w:tc>
        <w:tc>
          <w:tcPr>
            <w:tcW w:w="4394" w:type="dxa"/>
            <w:hideMark/>
          </w:tcPr>
          <w:p w:rsidR="00A42CD1" w:rsidRPr="00A42CD1" w:rsidRDefault="00A42CD1" w:rsidP="00A42CD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A42CD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篩檢是否有蠶豆症的遺傳。</w:t>
            </w:r>
          </w:p>
        </w:tc>
      </w:tr>
    </w:tbl>
    <w:p w:rsidR="00A42CD1" w:rsidRPr="00A42CD1" w:rsidRDefault="00A42CD1" w:rsidP="00A42CD1">
      <w:pPr>
        <w:jc w:val="right"/>
        <w:rPr>
          <w:rFonts w:ascii="標楷體" w:eastAsia="標楷體" w:hAnsi="標楷體"/>
          <w:b/>
          <w:sz w:val="40"/>
          <w:szCs w:val="40"/>
        </w:rPr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sectPr w:rsidR="00A42CD1" w:rsidRPr="00A42CD1" w:rsidSect="00A42CD1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6B" w:rsidRDefault="00EF7D6B" w:rsidP="00EF7D6B">
      <w:r>
        <w:separator/>
      </w:r>
    </w:p>
  </w:endnote>
  <w:endnote w:type="continuationSeparator" w:id="0">
    <w:p w:rsidR="00EF7D6B" w:rsidRDefault="00EF7D6B" w:rsidP="00EF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6B" w:rsidRDefault="00EF7D6B" w:rsidP="00EF7D6B">
      <w:r>
        <w:separator/>
      </w:r>
    </w:p>
  </w:footnote>
  <w:footnote w:type="continuationSeparator" w:id="0">
    <w:p w:rsidR="00EF7D6B" w:rsidRDefault="00EF7D6B" w:rsidP="00EF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D1"/>
    <w:rsid w:val="0026663F"/>
    <w:rsid w:val="00443339"/>
    <w:rsid w:val="00492274"/>
    <w:rsid w:val="0076611E"/>
    <w:rsid w:val="00A42CD1"/>
    <w:rsid w:val="00B67323"/>
    <w:rsid w:val="00D3614E"/>
    <w:rsid w:val="00E467CE"/>
    <w:rsid w:val="00E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257C9E2-2EFA-40D4-9978-A4120626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2CD1"/>
    <w:rPr>
      <w:rFonts w:asciiTheme="majorHAnsi" w:eastAsiaTheme="majorEastAsia" w:hAnsiTheme="majorHAnsi" w:cstheme="majorBidi"/>
      <w:sz w:val="18"/>
      <w:szCs w:val="18"/>
    </w:rPr>
  </w:style>
  <w:style w:type="table" w:styleId="-2">
    <w:name w:val="Light Shading Accent 2"/>
    <w:basedOn w:val="a1"/>
    <w:uiPriority w:val="60"/>
    <w:rsid w:val="00A42CD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A42C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21">
    <w:name w:val="Colorful List Accent 2"/>
    <w:basedOn w:val="a1"/>
    <w:uiPriority w:val="72"/>
    <w:rsid w:val="00A42CD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2">
    <w:name w:val="Medium Shading 1 Accent 2"/>
    <w:basedOn w:val="a1"/>
    <w:uiPriority w:val="63"/>
    <w:rsid w:val="00A42C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EF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D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502A-AAC7-49A5-9E30-9B0F2514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8</cp:revision>
  <dcterms:created xsi:type="dcterms:W3CDTF">2022-06-21T03:46:00Z</dcterms:created>
  <dcterms:modified xsi:type="dcterms:W3CDTF">2024-08-17T02:38:00Z</dcterms:modified>
</cp:coreProperties>
</file>